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18"/>
          <w:szCs w:val="18"/>
        </w:rPr>
      </w:pPr>
      <w:r>
        <w:rPr>
          <w:rFonts w:hint="eastAsia"/>
          <w:b/>
          <w:bCs/>
          <w:sz w:val="18"/>
          <w:szCs w:val="18"/>
        </w:rPr>
        <w:t>植物科学学院研究生国家奖学金评审办法（</w:t>
      </w:r>
      <w:r>
        <w:rPr>
          <w:rFonts w:hint="eastAsia"/>
          <w:b/>
          <w:bCs/>
          <w:sz w:val="18"/>
          <w:szCs w:val="18"/>
          <w:lang w:val="en-US" w:eastAsia="zh-CN"/>
        </w:rPr>
        <w:t>试行</w:t>
      </w:r>
      <w:r>
        <w:rPr>
          <w:rFonts w:hint="eastAsia"/>
          <w:b/>
          <w:bCs/>
          <w:sz w:val="18"/>
          <w:szCs w:val="18"/>
        </w:rPr>
        <w:t>）</w:t>
      </w:r>
    </w:p>
    <w:p>
      <w:pPr>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根据财政部、教育部、人力资源和社会保障部《学生资助资金管理办法》（财科教[2019]19号）、《普通高等学校研究生国家奖学金评审方法》（教财[2021]310号）和《吉林大学研究生国家奖学金评审办法》（校发 [2018]22号）要求，按照《关于开展清理“唯论文、唯帽子、唯职称、唯学历、唯奖项”专项行动的通知》（教技厅函[2018]110号）文件精神，制定学院研究生国家奖学金评审细则：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18"/>
          <w:szCs w:val="18"/>
        </w:rPr>
      </w:pPr>
      <w:r>
        <w:rPr>
          <w:rFonts w:hint="eastAsia" w:ascii="宋体" w:hAnsi="宋体" w:eastAsia="宋体" w:cs="宋体"/>
          <w:b/>
          <w:bCs/>
          <w:sz w:val="18"/>
          <w:szCs w:val="18"/>
          <w:lang w:val="en-US" w:eastAsia="zh-CN"/>
        </w:rPr>
        <w:t xml:space="preserve">第一条 </w:t>
      </w:r>
      <w:r>
        <w:rPr>
          <w:rFonts w:hint="eastAsia" w:ascii="宋体" w:hAnsi="宋体" w:eastAsia="宋体" w:cs="宋体"/>
          <w:b/>
          <w:bCs/>
          <w:sz w:val="18"/>
          <w:szCs w:val="18"/>
        </w:rPr>
        <w:t>奖励标准及名额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博士生国家奖学金每生3万元，硕士生国家奖学金每生2万元，分配名额以当年通知为准。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18"/>
          <w:szCs w:val="18"/>
        </w:rPr>
      </w:pPr>
      <w:r>
        <w:rPr>
          <w:rFonts w:hint="eastAsia" w:ascii="宋体" w:hAnsi="宋体" w:eastAsia="宋体" w:cs="宋体"/>
          <w:b/>
          <w:bCs/>
          <w:sz w:val="18"/>
          <w:szCs w:val="18"/>
          <w:lang w:val="en-US" w:eastAsia="zh-CN"/>
        </w:rPr>
        <w:t xml:space="preserve">第二条 </w:t>
      </w:r>
      <w:r>
        <w:rPr>
          <w:rFonts w:hint="eastAsia" w:ascii="宋体" w:hAnsi="宋体" w:eastAsia="宋体" w:cs="宋体"/>
          <w:b/>
          <w:bCs/>
          <w:sz w:val="18"/>
          <w:szCs w:val="18"/>
        </w:rPr>
        <w:t>参评对象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凡具有中华人民共和国国籍且纳入全国研究生招生计划的基础学制内的全日制（全脱产学习）研究生均有资格申请。“高层次人才强军计划”和“少数民族高层次骨干人才计划”等专项计划研究生按照国家相关文件执行。</w:t>
      </w:r>
      <w:r>
        <w:rPr>
          <w:rFonts w:hint="eastAsia" w:ascii="宋体" w:hAnsi="宋体" w:eastAsia="宋体" w:cs="宋体"/>
          <w:sz w:val="18"/>
          <w:szCs w:val="18"/>
        </w:rPr>
        <w:br w:type="textWrapping"/>
      </w:r>
      <w:r>
        <w:rPr>
          <w:rFonts w:hint="eastAsia" w:ascii="宋体" w:hAnsi="宋体" w:eastAsia="宋体" w:cs="宋体"/>
          <w:sz w:val="18"/>
          <w:szCs w:val="18"/>
        </w:rPr>
        <w:t>   （本）硕博贯通式培养研究生及硕博连读研究生在注册为博士研究生之前，按照硕士研究生身份申请；已注册为博士研究生的，按照博士研究生身份申请。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18"/>
          <w:szCs w:val="18"/>
        </w:rPr>
      </w:pPr>
      <w:r>
        <w:rPr>
          <w:rFonts w:hint="eastAsia" w:ascii="宋体" w:hAnsi="宋体" w:eastAsia="宋体" w:cs="宋体"/>
          <w:b/>
          <w:bCs/>
          <w:sz w:val="18"/>
          <w:szCs w:val="18"/>
          <w:lang w:val="en-US" w:eastAsia="zh-CN"/>
        </w:rPr>
        <w:t xml:space="preserve">第三条 </w:t>
      </w:r>
      <w:r>
        <w:rPr>
          <w:rFonts w:hint="eastAsia" w:ascii="宋体" w:hAnsi="宋体" w:eastAsia="宋体" w:cs="宋体"/>
          <w:b/>
          <w:bCs/>
          <w:sz w:val="18"/>
          <w:szCs w:val="18"/>
        </w:rPr>
        <w:t>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2.遵守宪法和法律，遵守学校规章制度；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3.诚实守信，道德品质优良；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4.有下列任何一项行为的，直接取消参评资格：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(1)有关反对党的领导和国家统一，反对中央有关政策言论，造成一定影响的，违反国家法律构成犯罪的；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(2)违反学校、学院规章制度的、发生违纪行为的、违反学术道德规范，发生学风问题，造成定影响的、违反学校、学院寝室和实验室的安全规定，发生事故的或者被通报的、长期不参加学院和实验室活动的；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(3)思想政治考核不合格，行为堕落、道德败坏，法制观念淡薄，目无组织无纪律，参加邪教及社会不良组织者；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(4)有欠费者。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注重全面发展，综合素质优秀，学习成绩优异,科研能力显著，发展潜力突出，对于学术型和专业型研究生应有各自的评价侧重。对于学术型研究生，评审标准应偏重考察其科研创新能力同时必须具有体现创新能力的科研成果；对于专业学位研究生，评审标准应偏重考察其专业实践能力同时必须具有体现实践能力的科研或应用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6.当前学历期间已获得过研究生国家奖学金的研究生如本次再次申请国家奖学金，不得重复利用成果。成果截止时间为当年9月30日。其他要求以当年通知为准。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应至少在学院认定范围内的学术期刊中公开发表(SCI可online)一篇与本专业相关的学术论文，第一署名单位须为吉林大学，同时具有其他与本专业相关的科研成果(专业型研究生有应用成果)者优先(成果截止时间为当年的9月30日)，成果不得重复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8.关于新入学研究生，除考察研究生招生考试相关成绩及考核评价情况，还要兼顾其在上一学历阶段取得的突出成绩，保障符合条件的新入学研究生获得研究生国家奖学金。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四、学术成果认定范围和评分办法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rPr>
        <w:t>具体执行方案详见附件1表格。附件1表格</w:t>
      </w:r>
      <w:r>
        <w:rPr>
          <w:rFonts w:hint="eastAsia" w:ascii="宋体" w:hAnsi="宋体" w:eastAsia="宋体" w:cs="宋体"/>
          <w:sz w:val="18"/>
          <w:szCs w:val="18"/>
          <w:lang w:val="en-US" w:eastAsia="zh-CN"/>
        </w:rPr>
        <w:t>中科研竞赛项按附件2执行。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18"/>
          <w:szCs w:val="18"/>
        </w:rPr>
      </w:pPr>
      <w:r>
        <w:rPr>
          <w:rFonts w:ascii="宋体" w:hAnsi="宋体" w:eastAsia="宋体" w:cs="宋体"/>
          <w:b/>
          <w:bCs/>
          <w:sz w:val="18"/>
          <w:szCs w:val="18"/>
        </w:rPr>
        <w:t>德育评分办法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ascii="宋体" w:hAnsi="宋体" w:eastAsia="宋体" w:cs="宋体"/>
          <w:sz w:val="18"/>
          <w:szCs w:val="18"/>
        </w:rPr>
        <w:t>德育</w:t>
      </w:r>
      <w:r>
        <w:rPr>
          <w:rFonts w:hint="eastAsia" w:ascii="宋体" w:hAnsi="宋体" w:eastAsia="宋体" w:cs="宋体"/>
          <w:sz w:val="18"/>
          <w:szCs w:val="18"/>
        </w:rPr>
        <w:t>评分参考</w:t>
      </w:r>
      <w:r>
        <w:rPr>
          <w:rFonts w:ascii="宋体" w:hAnsi="宋体" w:eastAsia="宋体" w:cs="宋体"/>
          <w:sz w:val="18"/>
          <w:szCs w:val="18"/>
        </w:rPr>
        <w:t>平时方面的表现作为评审的重要依据</w:t>
      </w:r>
      <w:r>
        <w:rPr>
          <w:rFonts w:hint="eastAsia" w:ascii="宋体" w:hAnsi="宋体" w:eastAsia="宋体" w:cs="宋体"/>
          <w:sz w:val="18"/>
          <w:szCs w:val="18"/>
        </w:rPr>
        <w:t>，</w:t>
      </w:r>
      <w:r>
        <w:rPr>
          <w:rFonts w:ascii="宋体" w:hAnsi="宋体" w:eastAsia="宋体" w:cs="宋体"/>
          <w:sz w:val="18"/>
          <w:szCs w:val="18"/>
        </w:rPr>
        <w:t>所占考核全部分数的30%德</w:t>
      </w:r>
      <w:r>
        <w:rPr>
          <w:rFonts w:hint="eastAsia" w:ascii="宋体" w:hAnsi="宋体" w:eastAsia="宋体" w:cs="宋体"/>
          <w:sz w:val="18"/>
          <w:szCs w:val="18"/>
        </w:rPr>
        <w:t>，</w:t>
      </w:r>
      <w:r>
        <w:rPr>
          <w:rFonts w:ascii="宋体" w:hAnsi="宋体" w:eastAsia="宋体" w:cs="宋体"/>
          <w:sz w:val="18"/>
          <w:szCs w:val="18"/>
        </w:rPr>
        <w:t>育分满分30分，不合格为18分以下，合格18-22分，良好23-26分，优秀27-30分。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ascii="宋体" w:hAnsi="宋体" w:eastAsia="宋体" w:cs="宋体"/>
          <w:sz w:val="18"/>
          <w:szCs w:val="18"/>
        </w:rPr>
        <w:t>各分组秘书组织本学科导师、实验平台管理人员、研究生对申报人进行民主评议，主要严格考核研究生在思想意识、道德品质、行为规范方面以及在科研态度、团队意识、科研实践方面的日常表现等德育方面内容，给出建议德育分值，并形成民主评议报告，分组负责人向学院国家奖学金评审委员会委员汇报该生在本学</w:t>
      </w:r>
      <w:r>
        <w:rPr>
          <w:rFonts w:hint="eastAsia" w:ascii="宋体" w:hAnsi="宋体" w:eastAsia="宋体" w:cs="宋体"/>
          <w:sz w:val="18"/>
          <w:szCs w:val="18"/>
        </w:rPr>
        <w:t>院</w:t>
      </w:r>
      <w:r>
        <w:rPr>
          <w:rFonts w:ascii="宋体" w:hAnsi="宋体" w:eastAsia="宋体" w:cs="宋体"/>
          <w:sz w:val="18"/>
          <w:szCs w:val="18"/>
        </w:rPr>
        <w:t>民主评议情况，委员再结合本人汇报情况予以最终打分。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18"/>
          <w:szCs w:val="18"/>
        </w:rPr>
      </w:pPr>
      <w:r>
        <w:rPr>
          <w:rFonts w:ascii="宋体" w:hAnsi="宋体" w:eastAsia="宋体" w:cs="宋体"/>
          <w:b/>
          <w:bCs/>
          <w:sz w:val="18"/>
          <w:szCs w:val="18"/>
        </w:rPr>
        <w:t>六、评审程序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ascii="宋体" w:hAnsi="宋体" w:eastAsia="宋体" w:cs="宋体"/>
          <w:sz w:val="18"/>
          <w:szCs w:val="18"/>
        </w:rPr>
        <w:t>1.学院公示细则以及评审委员会成员名单</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ascii="宋体" w:hAnsi="宋体" w:eastAsia="宋体" w:cs="宋体"/>
          <w:sz w:val="18"/>
          <w:szCs w:val="18"/>
        </w:rPr>
        <w:t>2.学院研究生办组织学生向学</w:t>
      </w:r>
      <w:r>
        <w:rPr>
          <w:rFonts w:hint="eastAsia" w:ascii="宋体" w:hAnsi="宋体" w:eastAsia="宋体" w:cs="宋体"/>
          <w:sz w:val="18"/>
          <w:szCs w:val="18"/>
        </w:rPr>
        <w:t>院</w:t>
      </w:r>
      <w:r>
        <w:rPr>
          <w:rFonts w:ascii="宋体" w:hAnsi="宋体" w:eastAsia="宋体" w:cs="宋体"/>
          <w:sz w:val="18"/>
          <w:szCs w:val="18"/>
        </w:rPr>
        <w:t>申报材料</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ascii="宋体" w:hAnsi="宋体" w:eastAsia="宋体" w:cs="宋体"/>
          <w:sz w:val="18"/>
          <w:szCs w:val="18"/>
        </w:rPr>
        <w:t>3.学</w:t>
      </w:r>
      <w:r>
        <w:rPr>
          <w:rFonts w:hint="eastAsia" w:ascii="宋体" w:hAnsi="宋体" w:eastAsia="宋体" w:cs="宋体"/>
          <w:sz w:val="18"/>
          <w:szCs w:val="18"/>
        </w:rPr>
        <w:t>院</w:t>
      </w:r>
      <w:r>
        <w:rPr>
          <w:rFonts w:ascii="宋体" w:hAnsi="宋体" w:eastAsia="宋体" w:cs="宋体"/>
          <w:sz w:val="18"/>
          <w:szCs w:val="18"/>
        </w:rPr>
        <w:t>对申报材料进行审核，并组织民主评议，形成民主评议报告</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pPr>
      <w:r>
        <w:rPr>
          <w:rFonts w:ascii="宋体" w:hAnsi="宋体" w:eastAsia="宋体" w:cs="宋体"/>
          <w:sz w:val="18"/>
          <w:szCs w:val="18"/>
        </w:rPr>
        <w:t>4.学院组织评审工作会议，委员听取申报人ppt汇报，结合成果材料以及民主评议报告，对申报人德育表现进行打分，计算出最终得分(最终得分计算方法:最终得分=学术成果百分制得分*70%+德育得分)，按序推荐</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18"/>
          <w:szCs w:val="18"/>
        </w:rPr>
        <w:sectPr>
          <w:pgSz w:w="11906" w:h="16838"/>
          <w:pgMar w:top="850" w:right="1417" w:bottom="567" w:left="1417" w:header="851" w:footer="992" w:gutter="0"/>
          <w:paperSrc/>
          <w:cols w:space="0" w:num="1"/>
          <w:rtlGutter w:val="0"/>
          <w:docGrid w:type="lines" w:linePitch="312" w:charSpace="0"/>
        </w:sectPr>
      </w:pPr>
      <w:r>
        <w:rPr>
          <w:rFonts w:ascii="宋体" w:hAnsi="宋体" w:eastAsia="宋体" w:cs="宋体"/>
          <w:sz w:val="18"/>
          <w:szCs w:val="18"/>
        </w:rPr>
        <w:t>5.整理材料，报研究生院</w:t>
      </w:r>
      <w:r>
        <w:rPr>
          <w:rFonts w:hint="eastAsia" w:ascii="宋体" w:hAnsi="宋体" w:eastAsia="宋体" w:cs="宋体"/>
          <w:sz w:val="18"/>
          <w:szCs w:val="18"/>
        </w:rPr>
        <w:t>。</w:t>
      </w:r>
    </w:p>
    <w:p>
      <w:pPr>
        <w:rPr>
          <w:rFonts w:hint="eastAsia"/>
          <w:sz w:val="18"/>
          <w:szCs w:val="18"/>
          <w:lang w:val="en-US" w:eastAsia="zh-CN"/>
        </w:rPr>
      </w:pPr>
      <w:r>
        <w:rPr>
          <w:rFonts w:hint="eastAsia"/>
          <w:sz w:val="18"/>
          <w:szCs w:val="18"/>
          <w:lang w:val="en-US" w:eastAsia="zh-CN"/>
        </w:rPr>
        <w:t>附件1</w:t>
      </w:r>
    </w:p>
    <w:p>
      <w:pPr>
        <w:jc w:val="center"/>
        <w:rPr>
          <w:rFonts w:hint="eastAsia"/>
          <w:b/>
          <w:bCs/>
          <w:sz w:val="18"/>
          <w:szCs w:val="18"/>
          <w:lang w:val="en-US" w:eastAsia="zh-CN"/>
        </w:rPr>
      </w:pPr>
      <w:r>
        <w:rPr>
          <w:rFonts w:hint="eastAsia"/>
          <w:b/>
          <w:bCs/>
          <w:sz w:val="18"/>
          <w:szCs w:val="18"/>
          <w:lang w:val="en-US" w:eastAsia="zh-CN"/>
        </w:rPr>
        <w:t>植物科学学院研究生国家奖学金评定办法（试行）</w:t>
      </w:r>
    </w:p>
    <w:tbl>
      <w:tblPr>
        <w:tblStyle w:val="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48"/>
        <w:gridCol w:w="55"/>
        <w:gridCol w:w="109"/>
        <w:gridCol w:w="1065"/>
        <w:gridCol w:w="2307"/>
        <w:gridCol w:w="309"/>
        <w:gridCol w:w="204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科研论文</w:t>
            </w:r>
          </w:p>
        </w:tc>
        <w:tc>
          <w:tcPr>
            <w:tcW w:w="2177" w:type="dxa"/>
            <w:gridSpan w:val="4"/>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A类（CNS）</w:t>
            </w:r>
          </w:p>
        </w:tc>
        <w:tc>
          <w:tcPr>
            <w:tcW w:w="4657" w:type="dxa"/>
            <w:gridSpan w:val="3"/>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直接参与国家奖学金的评定，由评审委员会讨论商榷最终结果。</w:t>
            </w:r>
          </w:p>
        </w:tc>
        <w:tc>
          <w:tcPr>
            <w:tcW w:w="1310" w:type="dxa"/>
            <w:vMerge w:val="restart"/>
            <w:vAlign w:val="center"/>
          </w:tcPr>
          <w:p>
            <w:pPr>
              <w:jc w:val="both"/>
              <w:rPr>
                <w:rFonts w:hint="eastAsia"/>
                <w:b w:val="0"/>
                <w:bCs w:val="0"/>
                <w:sz w:val="18"/>
                <w:szCs w:val="18"/>
                <w:vertAlign w:val="baseline"/>
                <w:lang w:val="en-US" w:eastAsia="zh-CN"/>
              </w:rPr>
            </w:pPr>
            <w:bookmarkStart w:id="0" w:name="_GoBack"/>
            <w:bookmarkEnd w:id="0"/>
          </w:p>
          <w:p>
            <w:pPr>
              <w:numPr>
                <w:ilvl w:val="0"/>
                <w:numId w:val="0"/>
              </w:num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注：国奖评审使用此方案时仅文章的独立一作和共同一作可参与评奖。</w:t>
            </w:r>
          </w:p>
          <w:p>
            <w:pPr>
              <w:numPr>
                <w:ilvl w:val="0"/>
                <w:numId w:val="0"/>
              </w:numPr>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*同一篇文章及结果只允许一个人申请；成功申请过国奖的文章不能重复申请国奖，申请过但没有成功的文章可以继续用来申请国奖。</w:t>
            </w:r>
          </w:p>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*导师与学生并列第一作者时，当导师署名第一位，学生署名第二位，学生按共同一作第二位分数计算。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B类（CNS子刊）</w:t>
            </w:r>
          </w:p>
        </w:tc>
        <w:tc>
          <w:tcPr>
            <w:tcW w:w="4657" w:type="dxa"/>
            <w:gridSpan w:val="3"/>
            <w:vMerge w:val="continue"/>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p>
        </w:tc>
        <w:tc>
          <w:tcPr>
            <w:tcW w:w="1310" w:type="dxa"/>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C类（单列1区）</w:t>
            </w: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default"/>
                <w:b w:val="0"/>
                <w:bCs w:val="0"/>
                <w:sz w:val="18"/>
                <w:szCs w:val="18"/>
                <w:vertAlign w:val="baseline"/>
                <w:lang w:val="en-US" w:eastAsia="zh-CN"/>
              </w:rPr>
            </w:pP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32分/项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24分/项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default"/>
                <w:b w:val="0"/>
                <w:bCs w:val="0"/>
                <w:sz w:val="18"/>
                <w:szCs w:val="18"/>
                <w:vertAlign w:val="baseline"/>
                <w:lang w:val="en-US" w:eastAsia="zh-CN"/>
              </w:rPr>
            </w:pPr>
          </w:p>
        </w:tc>
        <w:tc>
          <w:tcPr>
            <w:tcW w:w="2616" w:type="dxa"/>
            <w:gridSpan w:val="2"/>
            <w:shd w:val="clear" w:color="auto" w:fill="auto"/>
            <w:vAlign w:val="center"/>
          </w:tcPr>
          <w:p>
            <w:pPr>
              <w:jc w:val="center"/>
              <w:rPr>
                <w:rFonts w:hint="default"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17分/项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D类</w:t>
            </w:r>
          </w:p>
        </w:tc>
        <w:tc>
          <w:tcPr>
            <w:tcW w:w="1229" w:type="dxa"/>
            <w:gridSpan w:val="3"/>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1区TOP大类</w:t>
            </w: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color w:val="auto"/>
                <w:sz w:val="18"/>
                <w:szCs w:val="18"/>
                <w:vertAlign w:val="baseline"/>
                <w:lang w:val="en-US" w:eastAsia="zh-CN"/>
              </w:rPr>
              <w:t>35分/项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eastAsia"/>
                <w:b w:val="0"/>
                <w:bCs w:val="0"/>
                <w:sz w:val="18"/>
                <w:szCs w:val="18"/>
                <w:vertAlign w:val="baseline"/>
                <w:lang w:val="en-US" w:eastAsia="zh-CN"/>
              </w:rPr>
            </w:pPr>
          </w:p>
        </w:tc>
        <w:tc>
          <w:tcPr>
            <w:tcW w:w="1229" w:type="dxa"/>
            <w:gridSpan w:val="3"/>
            <w:vMerge w:val="continue"/>
            <w:vAlign w:val="center"/>
          </w:tcPr>
          <w:p>
            <w:pPr>
              <w:jc w:val="center"/>
              <w:rPr>
                <w:rFonts w:hint="eastAsia"/>
                <w:b w:val="0"/>
                <w:bCs w:val="0"/>
                <w:sz w:val="18"/>
                <w:szCs w:val="18"/>
                <w:vertAlign w:val="baseline"/>
                <w:lang w:val="en-US" w:eastAsia="zh-CN"/>
              </w:rPr>
            </w:pP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28分/项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eastAsia"/>
                <w:b w:val="0"/>
                <w:bCs w:val="0"/>
                <w:sz w:val="18"/>
                <w:szCs w:val="18"/>
                <w:vertAlign w:val="baseline"/>
                <w:lang w:val="en-US" w:eastAsia="zh-CN"/>
              </w:rPr>
            </w:pPr>
          </w:p>
        </w:tc>
        <w:tc>
          <w:tcPr>
            <w:tcW w:w="1229" w:type="dxa"/>
            <w:gridSpan w:val="3"/>
            <w:vMerge w:val="continue"/>
            <w:vAlign w:val="center"/>
          </w:tcPr>
          <w:p>
            <w:pPr>
              <w:jc w:val="center"/>
              <w:rPr>
                <w:rFonts w:hint="eastAsia"/>
                <w:b w:val="0"/>
                <w:bCs w:val="0"/>
                <w:sz w:val="18"/>
                <w:szCs w:val="18"/>
                <w:vertAlign w:val="baseline"/>
                <w:lang w:val="en-US" w:eastAsia="zh-CN"/>
              </w:rPr>
            </w:pP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041"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21分/项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eastAsia"/>
                <w:b w:val="0"/>
                <w:bCs w:val="0"/>
                <w:sz w:val="18"/>
                <w:szCs w:val="18"/>
                <w:vertAlign w:val="baseline"/>
                <w:lang w:val="en-US" w:eastAsia="zh-CN"/>
              </w:rPr>
            </w:pPr>
          </w:p>
        </w:tc>
        <w:tc>
          <w:tcPr>
            <w:tcW w:w="1229" w:type="dxa"/>
            <w:gridSpan w:val="3"/>
            <w:vMerge w:val="continue"/>
            <w:vAlign w:val="center"/>
          </w:tcPr>
          <w:p>
            <w:pPr>
              <w:jc w:val="center"/>
              <w:rPr>
                <w:rFonts w:hint="eastAsia"/>
                <w:b w:val="0"/>
                <w:bCs w:val="0"/>
                <w:sz w:val="18"/>
                <w:szCs w:val="18"/>
                <w:vertAlign w:val="baseline"/>
                <w:lang w:val="en-US" w:eastAsia="zh-CN"/>
              </w:rPr>
            </w:pPr>
          </w:p>
        </w:tc>
        <w:tc>
          <w:tcPr>
            <w:tcW w:w="2616" w:type="dxa"/>
            <w:gridSpan w:val="2"/>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共同一作第三/四位及以后</w:t>
            </w:r>
          </w:p>
        </w:tc>
        <w:tc>
          <w:tcPr>
            <w:tcW w:w="2041" w:type="dxa"/>
            <w:shd w:val="clear" w:color="auto" w:fill="auto"/>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cstheme="minorBidi"/>
                <w:b w:val="0"/>
                <w:bCs w:val="0"/>
                <w:kern w:val="2"/>
                <w:sz w:val="18"/>
                <w:szCs w:val="18"/>
                <w:vertAlign w:val="baseline"/>
                <w:lang w:val="en-US" w:eastAsia="zh-CN" w:bidi="ar-SA"/>
              </w:rPr>
              <w:t>14分/项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default"/>
                <w:b w:val="0"/>
                <w:bCs w:val="0"/>
                <w:sz w:val="18"/>
                <w:szCs w:val="18"/>
                <w:vertAlign w:val="baseline"/>
                <w:lang w:val="en-US" w:eastAsia="zh-CN"/>
              </w:rPr>
            </w:pPr>
          </w:p>
        </w:tc>
        <w:tc>
          <w:tcPr>
            <w:tcW w:w="1229" w:type="dxa"/>
            <w:gridSpan w:val="3"/>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普通1区</w:t>
            </w: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default"/>
                <w:b w:val="0"/>
                <w:bCs w:val="0"/>
                <w:sz w:val="18"/>
                <w:szCs w:val="18"/>
                <w:vertAlign w:val="baseline"/>
                <w:lang w:val="en-US" w:eastAsia="zh-CN"/>
              </w:rPr>
            </w:pPr>
          </w:p>
        </w:tc>
        <w:tc>
          <w:tcPr>
            <w:tcW w:w="1229" w:type="dxa"/>
            <w:gridSpan w:val="3"/>
            <w:vMerge w:val="continue"/>
            <w:vAlign w:val="center"/>
          </w:tcPr>
          <w:p>
            <w:pPr>
              <w:jc w:val="center"/>
              <w:rPr>
                <w:rFonts w:hint="default"/>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default"/>
                <w:b w:val="0"/>
                <w:bCs w:val="0"/>
                <w:sz w:val="18"/>
                <w:szCs w:val="18"/>
                <w:vertAlign w:val="baseline"/>
                <w:lang w:val="en-US" w:eastAsia="zh-CN"/>
              </w:rPr>
            </w:pPr>
          </w:p>
        </w:tc>
        <w:tc>
          <w:tcPr>
            <w:tcW w:w="1229" w:type="dxa"/>
            <w:gridSpan w:val="3"/>
            <w:vMerge w:val="continue"/>
            <w:vAlign w:val="center"/>
          </w:tcPr>
          <w:p>
            <w:pPr>
              <w:jc w:val="center"/>
              <w:rPr>
                <w:rFonts w:hint="default"/>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948" w:type="dxa"/>
            <w:vMerge w:val="continue"/>
            <w:vAlign w:val="center"/>
          </w:tcPr>
          <w:p>
            <w:pPr>
              <w:jc w:val="center"/>
              <w:rPr>
                <w:rFonts w:hint="default"/>
                <w:b w:val="0"/>
                <w:bCs w:val="0"/>
                <w:sz w:val="18"/>
                <w:szCs w:val="18"/>
                <w:vertAlign w:val="baseline"/>
                <w:lang w:val="en-US" w:eastAsia="zh-CN"/>
              </w:rPr>
            </w:pPr>
          </w:p>
        </w:tc>
        <w:tc>
          <w:tcPr>
            <w:tcW w:w="1229" w:type="dxa"/>
            <w:gridSpan w:val="3"/>
            <w:vMerge w:val="continue"/>
            <w:vAlign w:val="center"/>
          </w:tcPr>
          <w:p>
            <w:pPr>
              <w:jc w:val="center"/>
              <w:rPr>
                <w:rFonts w:hint="default"/>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E类</w:t>
            </w: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10分/项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8分/项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F类</w:t>
            </w: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7分/项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5.6分/项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4.2分/项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restart"/>
            <w:vAlign w:val="center"/>
          </w:tcPr>
          <w:p>
            <w:pPr>
              <w:jc w:val="center"/>
              <w:rPr>
                <w:rFonts w:hint="eastAsia"/>
                <w:b w:val="0"/>
                <w:bCs w:val="0"/>
                <w:sz w:val="18"/>
                <w:szCs w:val="18"/>
                <w:vertAlign w:val="baseline"/>
                <w:lang w:val="en-US" w:eastAsia="zh-CN"/>
              </w:rPr>
            </w:pPr>
          </w:p>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G类</w:t>
            </w:r>
          </w:p>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（其他）</w:t>
            </w:r>
          </w:p>
        </w:tc>
        <w:tc>
          <w:tcPr>
            <w:tcW w:w="1174" w:type="dxa"/>
            <w:gridSpan w:val="2"/>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一级学报/四区</w:t>
            </w: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eastAsia"/>
                <w:b w:val="0"/>
                <w:bCs w:val="0"/>
                <w:sz w:val="18"/>
                <w:szCs w:val="18"/>
                <w:vertAlign w:val="baseline"/>
                <w:lang w:val="en-US" w:eastAsia="zh-CN"/>
              </w:rPr>
            </w:pPr>
          </w:p>
        </w:tc>
        <w:tc>
          <w:tcPr>
            <w:tcW w:w="1174" w:type="dxa"/>
            <w:gridSpan w:val="2"/>
            <w:vMerge w:val="continue"/>
            <w:vAlign w:val="center"/>
          </w:tcPr>
          <w:p>
            <w:pPr>
              <w:jc w:val="center"/>
              <w:rPr>
                <w:rFonts w:hint="default"/>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4分/项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eastAsia"/>
                <w:b w:val="0"/>
                <w:bCs w:val="0"/>
                <w:sz w:val="18"/>
                <w:szCs w:val="18"/>
                <w:vertAlign w:val="baseline"/>
                <w:lang w:val="en-US" w:eastAsia="zh-CN"/>
              </w:rPr>
            </w:pPr>
          </w:p>
        </w:tc>
        <w:tc>
          <w:tcPr>
            <w:tcW w:w="1174" w:type="dxa"/>
            <w:gridSpan w:val="2"/>
            <w:vMerge w:val="continue"/>
            <w:vAlign w:val="center"/>
          </w:tcPr>
          <w:p>
            <w:pPr>
              <w:jc w:val="center"/>
              <w:rPr>
                <w:rFonts w:hint="default"/>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eastAsia"/>
                <w:b w:val="0"/>
                <w:bCs w:val="0"/>
                <w:sz w:val="18"/>
                <w:szCs w:val="18"/>
                <w:vertAlign w:val="baseline"/>
                <w:lang w:val="en-US" w:eastAsia="zh-CN"/>
              </w:rPr>
            </w:pPr>
          </w:p>
        </w:tc>
        <w:tc>
          <w:tcPr>
            <w:tcW w:w="1174" w:type="dxa"/>
            <w:gridSpan w:val="2"/>
            <w:vMerge w:val="continue"/>
            <w:vAlign w:val="center"/>
          </w:tcPr>
          <w:p>
            <w:pPr>
              <w:jc w:val="center"/>
              <w:rPr>
                <w:rFonts w:hint="default"/>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2分/项</w:t>
            </w:r>
          </w:p>
        </w:tc>
        <w:tc>
          <w:tcPr>
            <w:tcW w:w="1310" w:type="dxa"/>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EI、具有影响因子非SCI国际期刊论文</w:t>
            </w: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3.5分/项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2.8分/项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2.1分/项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1.4分/项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普通核心期刊</w:t>
            </w: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独立一作</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共同一作第一位</w:t>
            </w:r>
          </w:p>
        </w:tc>
        <w:tc>
          <w:tcPr>
            <w:tcW w:w="2041" w:type="dxa"/>
            <w:vAlign w:val="center"/>
          </w:tcPr>
          <w:p>
            <w:pPr>
              <w:jc w:val="center"/>
              <w:rPr>
                <w:rFonts w:hint="eastAsia" w:asciiTheme="minorHAnsi" w:hAnsiTheme="minorHAnsi" w:eastAsiaTheme="minorEastAsia" w:cstheme="minorBidi"/>
                <w:b w:val="0"/>
                <w:bCs w:val="0"/>
                <w:kern w:val="2"/>
                <w:sz w:val="18"/>
                <w:szCs w:val="18"/>
                <w:vertAlign w:val="baseline"/>
                <w:lang w:val="en-US" w:eastAsia="zh-CN" w:bidi="ar-SA"/>
              </w:rPr>
            </w:pPr>
            <w:r>
              <w:rPr>
                <w:rFonts w:hint="eastAsia"/>
                <w:b w:val="0"/>
                <w:bCs w:val="0"/>
                <w:sz w:val="18"/>
                <w:szCs w:val="18"/>
                <w:vertAlign w:val="baseline"/>
                <w:lang w:val="en-US" w:eastAsia="zh-CN"/>
              </w:rPr>
              <w:t>2分/项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共同一作第二位</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1.7分/项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1003" w:type="dxa"/>
            <w:gridSpan w:val="2"/>
            <w:vMerge w:val="continue"/>
            <w:vAlign w:val="center"/>
          </w:tcPr>
          <w:p>
            <w:pPr>
              <w:jc w:val="center"/>
              <w:rPr>
                <w:rFonts w:hint="default"/>
                <w:b w:val="0"/>
                <w:bCs w:val="0"/>
                <w:sz w:val="18"/>
                <w:szCs w:val="18"/>
                <w:vertAlign w:val="baseline"/>
                <w:lang w:val="en-US" w:eastAsia="zh-CN"/>
              </w:rPr>
            </w:pPr>
          </w:p>
        </w:tc>
        <w:tc>
          <w:tcPr>
            <w:tcW w:w="1174" w:type="dxa"/>
            <w:gridSpan w:val="2"/>
            <w:vMerge w:val="continue"/>
            <w:vAlign w:val="center"/>
          </w:tcPr>
          <w:p>
            <w:pPr>
              <w:jc w:val="center"/>
              <w:rPr>
                <w:rFonts w:hint="eastAsia"/>
                <w:b w:val="0"/>
                <w:bCs w:val="0"/>
                <w:sz w:val="18"/>
                <w:szCs w:val="18"/>
                <w:vertAlign w:val="baseline"/>
                <w:lang w:val="en-US" w:eastAsia="zh-CN"/>
              </w:rPr>
            </w:pPr>
          </w:p>
        </w:tc>
        <w:tc>
          <w:tcPr>
            <w:tcW w:w="2616"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共同一作第三/四位及以后</w:t>
            </w:r>
          </w:p>
        </w:tc>
        <w:tc>
          <w:tcPr>
            <w:tcW w:w="2041"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1.3分/项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科研成果</w:t>
            </w: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国际等级</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500分/项</w:t>
            </w:r>
          </w:p>
        </w:tc>
        <w:tc>
          <w:tcPr>
            <w:tcW w:w="1310" w:type="dxa"/>
            <w:vMerge w:val="restart"/>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将第一署名和非第一署名分别计算，第一署名所占比率为70%，非第一署名所占比率为30%。既：按照第一署名加分乘以0.7，非第一署名加分后乘以0.3。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国家级特等</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国家级一等、省部级特等</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国家级二等、省部级一等奖</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省部级二等、校级特等</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省部级三等、校级一等</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校级二等</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校级三等</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科研项目</w:t>
            </w: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A类</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B类</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C类</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职务专利</w:t>
            </w: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授权发明专利</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授权专利转让</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授权实用新型专利</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国家级审定、认定、登记植物新品种</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省级审定、认定、登记植物新品种、新农药、新肥料</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国际标准</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200分/项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国家级标准</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100分/项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地方级标准</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行业技术规程</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30分/项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学术专著</w:t>
            </w: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国际权威出版机构公开出版</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300分/本</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国家级出版社公开出版</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100分/本</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其他出版社公开出版</w:t>
            </w:r>
          </w:p>
        </w:tc>
        <w:tc>
          <w:tcPr>
            <w:tcW w:w="4657" w:type="dxa"/>
            <w:gridSpan w:val="3"/>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10分/本</w:t>
            </w:r>
          </w:p>
        </w:tc>
        <w:tc>
          <w:tcPr>
            <w:tcW w:w="1310" w:type="dxa"/>
            <w:vMerge w:val="continue"/>
          </w:tcPr>
          <w:p>
            <w:pPr>
              <w:jc w:val="both"/>
              <w:rPr>
                <w:rFonts w:hint="default"/>
                <w:b w:val="0"/>
                <w:bCs w:val="0"/>
                <w:sz w:val="18"/>
                <w:szCs w:val="18"/>
                <w:vertAlign w:val="baseline"/>
                <w:lang w:val="en-US" w:eastAsia="zh-CN"/>
              </w:rPr>
            </w:pPr>
          </w:p>
        </w:tc>
      </w:tr>
      <w:tr>
        <w:tblPrEx>
          <w:tblLayout w:type="fixed"/>
          <w:tblCellMar>
            <w:top w:w="0" w:type="dxa"/>
            <w:left w:w="108" w:type="dxa"/>
            <w:bottom w:w="0" w:type="dxa"/>
            <w:right w:w="108" w:type="dxa"/>
          </w:tblCellMar>
        </w:tblPrEx>
        <w:trPr>
          <w:trHeight w:val="292" w:hRule="atLeast"/>
        </w:trPr>
        <w:tc>
          <w:tcPr>
            <w:tcW w:w="1101"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科研竞赛</w:t>
            </w:r>
          </w:p>
        </w:tc>
        <w:tc>
          <w:tcPr>
            <w:tcW w:w="1112" w:type="dxa"/>
            <w:gridSpan w:val="3"/>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国家级</w:t>
            </w:r>
          </w:p>
        </w:tc>
        <w:tc>
          <w:tcPr>
            <w:tcW w:w="1065"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一等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color w:val="auto"/>
                <w:sz w:val="18"/>
                <w:szCs w:val="18"/>
                <w:vertAlign w:val="baseline"/>
                <w:lang w:val="en-US" w:eastAsia="zh-CN"/>
              </w:rPr>
              <w:t>10分/项</w:t>
            </w:r>
          </w:p>
        </w:tc>
        <w:tc>
          <w:tcPr>
            <w:tcW w:w="1310" w:type="dxa"/>
            <w:vMerge w:val="restart"/>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8分/项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二等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9分/项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7.2分/项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5.4分/项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三等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8分/项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6.4分/项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4.8分/项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省部级</w:t>
            </w:r>
          </w:p>
        </w:tc>
        <w:tc>
          <w:tcPr>
            <w:tcW w:w="106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一等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7分/项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5.6分/项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4.2分/项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二等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4.8分/项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3.6分/项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三等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vAlign w:val="center"/>
          </w:tcPr>
          <w:p>
            <w:pPr>
              <w:jc w:val="center"/>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restart"/>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校级</w:t>
            </w:r>
          </w:p>
        </w:tc>
        <w:tc>
          <w:tcPr>
            <w:tcW w:w="106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一等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2.4分/项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1.8分/项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二等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1.6分/项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continue"/>
            <w:vAlign w:val="center"/>
          </w:tcPr>
          <w:p>
            <w:pPr>
              <w:jc w:val="center"/>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1.2分/项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三等</w:t>
            </w: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参与人员仅一人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continue"/>
          </w:tcPr>
          <w:p>
            <w:pPr>
              <w:jc w:val="both"/>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参与人员二人</w:t>
            </w:r>
          </w:p>
        </w:tc>
        <w:tc>
          <w:tcPr>
            <w:tcW w:w="2350" w:type="dxa"/>
            <w:gridSpan w:val="2"/>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0.8分/项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eastAsia"/>
                <w:b w:val="0"/>
                <w:bCs w:val="0"/>
                <w:sz w:val="18"/>
                <w:szCs w:val="18"/>
                <w:vertAlign w:val="baseline"/>
                <w:lang w:val="en-US" w:eastAsia="zh-CN"/>
              </w:rPr>
            </w:pPr>
          </w:p>
        </w:tc>
        <w:tc>
          <w:tcPr>
            <w:tcW w:w="1112" w:type="dxa"/>
            <w:gridSpan w:val="3"/>
            <w:vMerge w:val="continue"/>
          </w:tcPr>
          <w:p>
            <w:pPr>
              <w:jc w:val="both"/>
              <w:rPr>
                <w:rFonts w:hint="eastAsia"/>
                <w:b w:val="0"/>
                <w:bCs w:val="0"/>
                <w:sz w:val="18"/>
                <w:szCs w:val="18"/>
                <w:vertAlign w:val="baseline"/>
                <w:lang w:val="en-US" w:eastAsia="zh-CN"/>
              </w:rPr>
            </w:pPr>
          </w:p>
        </w:tc>
        <w:tc>
          <w:tcPr>
            <w:tcW w:w="1065" w:type="dxa"/>
            <w:vMerge w:val="continue"/>
          </w:tcPr>
          <w:p>
            <w:pPr>
              <w:jc w:val="both"/>
              <w:rPr>
                <w:rFonts w:hint="eastAsia"/>
                <w:b w:val="0"/>
                <w:bCs w:val="0"/>
                <w:sz w:val="18"/>
                <w:szCs w:val="18"/>
                <w:vertAlign w:val="baseline"/>
                <w:lang w:val="en-US" w:eastAsia="zh-CN"/>
              </w:rPr>
            </w:pPr>
          </w:p>
        </w:tc>
        <w:tc>
          <w:tcPr>
            <w:tcW w:w="2307"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参与人员三人及以上</w:t>
            </w:r>
          </w:p>
        </w:tc>
        <w:tc>
          <w:tcPr>
            <w:tcW w:w="2350" w:type="dxa"/>
            <w:gridSpan w:val="2"/>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0.6分/项</w:t>
            </w:r>
          </w:p>
        </w:tc>
        <w:tc>
          <w:tcPr>
            <w:tcW w:w="1310" w:type="dxa"/>
            <w:vMerge w:val="continue"/>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学术类</w:t>
            </w:r>
          </w:p>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荣誉称号</w:t>
            </w: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国家级</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省部级</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jc w:val="center"/>
              <w:rPr>
                <w:rFonts w:hint="default"/>
                <w:b w:val="0"/>
                <w:bCs w:val="0"/>
                <w:sz w:val="18"/>
                <w:szCs w:val="18"/>
                <w:vertAlign w:val="baseline"/>
                <w:lang w:val="en-US" w:eastAsia="zh-CN"/>
              </w:rPr>
            </w:pPr>
          </w:p>
        </w:tc>
        <w:tc>
          <w:tcPr>
            <w:tcW w:w="2177" w:type="dxa"/>
            <w:gridSpan w:val="4"/>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校级</w:t>
            </w:r>
          </w:p>
        </w:tc>
        <w:tc>
          <w:tcPr>
            <w:tcW w:w="4657" w:type="dxa"/>
            <w:gridSpan w:val="3"/>
            <w:vAlign w:val="center"/>
          </w:tcPr>
          <w:p>
            <w:pPr>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3分/项</w:t>
            </w:r>
          </w:p>
        </w:tc>
        <w:tc>
          <w:tcPr>
            <w:tcW w:w="1310" w:type="dxa"/>
            <w:vMerge w:val="continue"/>
          </w:tcPr>
          <w:p>
            <w:pPr>
              <w:jc w:val="both"/>
              <w:rPr>
                <w:rFonts w:hint="default"/>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5" w:type="dxa"/>
            <w:gridSpan w:val="9"/>
          </w:tcPr>
          <w:p>
            <w:pPr>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个人最终得分可精确到小数点后两位。该方案最终解释权由植物科学学院研究生奖学金评定工作委员会所有。</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18"/>
          <w:szCs w:val="18"/>
          <w:lang w:val="en-US" w:eastAsia="zh-CN"/>
        </w:rPr>
      </w:pPr>
    </w:p>
    <w:sectPr>
      <w:pgSz w:w="11906" w:h="16838"/>
      <w:pgMar w:top="567" w:right="1417" w:bottom="283"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F2C70"/>
    <w:multiLevelType w:val="singleLevel"/>
    <w:tmpl w:val="2C8F2C7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MzZjY5NjUzYWJhMWQ0NGRjN2FjN2UwYmU2MDUifQ=="/>
  </w:docVars>
  <w:rsids>
    <w:rsidRoot w:val="00000000"/>
    <w:rsid w:val="01164DAB"/>
    <w:rsid w:val="056F22E3"/>
    <w:rsid w:val="065A0B43"/>
    <w:rsid w:val="08A16822"/>
    <w:rsid w:val="08B563B4"/>
    <w:rsid w:val="0B372620"/>
    <w:rsid w:val="0CEA6366"/>
    <w:rsid w:val="180167E4"/>
    <w:rsid w:val="21B753B7"/>
    <w:rsid w:val="24957DD5"/>
    <w:rsid w:val="26EE7200"/>
    <w:rsid w:val="29EC2F7C"/>
    <w:rsid w:val="2BA74800"/>
    <w:rsid w:val="2E513149"/>
    <w:rsid w:val="3A3A47FC"/>
    <w:rsid w:val="421C26AD"/>
    <w:rsid w:val="43853221"/>
    <w:rsid w:val="4722271F"/>
    <w:rsid w:val="49B77EAC"/>
    <w:rsid w:val="53312A7E"/>
    <w:rsid w:val="55E77D6B"/>
    <w:rsid w:val="568D53E1"/>
    <w:rsid w:val="590B5C0A"/>
    <w:rsid w:val="5ACE14FA"/>
    <w:rsid w:val="5BE262DB"/>
    <w:rsid w:val="5F2032B1"/>
    <w:rsid w:val="66974E96"/>
    <w:rsid w:val="6A461ABA"/>
    <w:rsid w:val="6BA17DBE"/>
    <w:rsid w:val="70F27D61"/>
    <w:rsid w:val="73E62FB9"/>
    <w:rsid w:val="76377B9E"/>
    <w:rsid w:val="771313D8"/>
    <w:rsid w:val="79C133D0"/>
    <w:rsid w:val="79E215B1"/>
    <w:rsid w:val="7CF64DB6"/>
    <w:rsid w:val="7DFA6951"/>
    <w:rsid w:val="7E0962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2933</Words>
  <Characters>3128</Characters>
  <Lines>0</Lines>
  <Paragraphs>0</Paragraphs>
  <ScaleCrop>false</ScaleCrop>
  <LinksUpToDate>false</LinksUpToDate>
  <CharactersWithSpaces>3132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ASUS</dc:creator>
  <cp:lastModifiedBy>zhaogh</cp:lastModifiedBy>
  <cp:lastPrinted>2024-09-09T03:31:00Z</cp:lastPrinted>
  <dcterms:modified xsi:type="dcterms:W3CDTF">2024-09-10T01:16:06Z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2DEF1D722F0E4FCFBB1A79CEB08264FA_13</vt:lpwstr>
  </property>
</Properties>
</file>